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F3" w:rsidRPr="00A33342" w:rsidRDefault="00CE75F3" w:rsidP="00CE75F3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6139C6">
        <w:rPr>
          <w:b/>
          <w:sz w:val="28"/>
          <w:szCs w:val="28"/>
        </w:rPr>
        <w:t>Impact of Non-Empirically Tuning the Range-Separation Parameter of Long-Range Corrected Hybrid Functionals on Ionization Potentials, Electron Affinities, and Fundamental Gaps</w:t>
      </w:r>
    </w:p>
    <w:p w:rsidR="00142356" w:rsidRPr="00CE75F3" w:rsidRDefault="00CE75F3" w:rsidP="00CE75F3">
      <w:pPr>
        <w:spacing w:line="240" w:lineRule="auto"/>
        <w:rPr>
          <w:sz w:val="24"/>
          <w:szCs w:val="24"/>
        </w:rPr>
      </w:pPr>
      <w:r w:rsidRPr="00B45B89">
        <w:rPr>
          <w:sz w:val="24"/>
          <w:szCs w:val="24"/>
        </w:rPr>
        <w:t>Talapunur Vikramaditya,</w:t>
      </w:r>
      <w:r w:rsidRPr="00B45B89">
        <w:rPr>
          <w:rStyle w:val="a4"/>
          <w:sz w:val="24"/>
          <w:szCs w:val="24"/>
        </w:rPr>
        <w:endnoteReference w:id="1"/>
      </w:r>
      <w:r w:rsidRPr="00B45B89">
        <w:rPr>
          <w:sz w:val="24"/>
          <w:szCs w:val="24"/>
        </w:rPr>
        <w:t xml:space="preserve"> Jeng-Da Chai,</w:t>
      </w:r>
      <w:r w:rsidRPr="00B45B89">
        <w:rPr>
          <w:rStyle w:val="a4"/>
          <w:sz w:val="24"/>
          <w:szCs w:val="24"/>
        </w:rPr>
        <w:endnoteReference w:id="2"/>
      </w:r>
      <w:r w:rsidRPr="00B45B89">
        <w:rPr>
          <w:sz w:val="24"/>
          <w:szCs w:val="24"/>
          <w:vertAlign w:val="superscript"/>
        </w:rPr>
        <w:t xml:space="preserve">* </w:t>
      </w:r>
      <w:r w:rsidRPr="00B45B89">
        <w:rPr>
          <w:sz w:val="24"/>
          <w:szCs w:val="24"/>
        </w:rPr>
        <w:t xml:space="preserve">and </w:t>
      </w:r>
      <w:proofErr w:type="spellStart"/>
      <w:r w:rsidRPr="00B45B89">
        <w:rPr>
          <w:sz w:val="24"/>
          <w:szCs w:val="24"/>
        </w:rPr>
        <w:t>Shiang</w:t>
      </w:r>
      <w:proofErr w:type="spellEnd"/>
      <w:r w:rsidRPr="00B45B89">
        <w:rPr>
          <w:sz w:val="24"/>
          <w:szCs w:val="24"/>
        </w:rPr>
        <w:t xml:space="preserve">-Tai </w:t>
      </w:r>
      <w:proofErr w:type="spellStart"/>
      <w:r w:rsidRPr="00B45B89">
        <w:rPr>
          <w:sz w:val="24"/>
          <w:szCs w:val="24"/>
        </w:rPr>
        <w:t>Li</w:t>
      </w:r>
      <w:r>
        <w:rPr>
          <w:sz w:val="24"/>
          <w:szCs w:val="24"/>
        </w:rPr>
        <w:t>n</w:t>
      </w:r>
      <w:r>
        <w:rPr>
          <w:sz w:val="24"/>
          <w:szCs w:val="24"/>
          <w:vertAlign w:val="superscript"/>
        </w:rPr>
        <w:t>i</w:t>
      </w:r>
      <w:proofErr w:type="spellEnd"/>
      <w:r w:rsidRPr="00B45B89">
        <w:rPr>
          <w:sz w:val="24"/>
          <w:szCs w:val="24"/>
          <w:vertAlign w:val="superscript"/>
        </w:rPr>
        <w:t>*</w:t>
      </w:r>
    </w:p>
    <w:sectPr w:rsidR="00142356" w:rsidRPr="00CE75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77" w:rsidRDefault="00C84377" w:rsidP="00CE75F3">
      <w:pPr>
        <w:spacing w:after="0" w:line="240" w:lineRule="auto"/>
      </w:pPr>
      <w:r>
        <w:separator/>
      </w:r>
    </w:p>
  </w:endnote>
  <w:endnote w:type="continuationSeparator" w:id="0">
    <w:p w:rsidR="00C84377" w:rsidRDefault="00C84377" w:rsidP="00CE75F3">
      <w:pPr>
        <w:spacing w:after="0" w:line="240" w:lineRule="auto"/>
      </w:pPr>
      <w:r>
        <w:continuationSeparator/>
      </w:r>
    </w:p>
  </w:endnote>
  <w:endnote w:id="1"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  <w:r w:rsidRPr="00CE75F3">
        <w:rPr>
          <w:rStyle w:val="a4"/>
          <w:rFonts w:asciiTheme="minorHAnsi" w:hAnsiTheme="minorHAnsi" w:cstheme="minorHAnsi"/>
        </w:rPr>
        <w:endnoteRef/>
      </w:r>
      <w:r w:rsidRPr="00CE75F3">
        <w:rPr>
          <w:rFonts w:asciiTheme="minorHAnsi" w:hAnsiTheme="minorHAnsi" w:cstheme="minorHAnsi"/>
        </w:rPr>
        <w:t xml:space="preserve">T. Vikramaditya, </w:t>
      </w:r>
      <w:proofErr w:type="spellStart"/>
      <w:r w:rsidRPr="00CE75F3">
        <w:rPr>
          <w:rFonts w:asciiTheme="minorHAnsi" w:hAnsiTheme="minorHAnsi" w:cstheme="minorHAnsi"/>
        </w:rPr>
        <w:t>Shiang</w:t>
      </w:r>
      <w:proofErr w:type="spellEnd"/>
      <w:r w:rsidRPr="00CE75F3">
        <w:rPr>
          <w:rFonts w:asciiTheme="minorHAnsi" w:hAnsiTheme="minorHAnsi" w:cstheme="minorHAnsi"/>
        </w:rPr>
        <w:t xml:space="preserve">-Tai Lin 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  <w:r w:rsidRPr="00CE75F3">
        <w:rPr>
          <w:rFonts w:asciiTheme="minorHAnsi" w:hAnsiTheme="minorHAnsi" w:cstheme="minorHAnsi"/>
        </w:rPr>
        <w:t>Computational Molecular Engineering Laboratory,</w:t>
      </w:r>
      <w:r w:rsidRPr="00CE75F3">
        <w:rPr>
          <w:rFonts w:asciiTheme="minorHAnsi" w:hAnsiTheme="minorHAnsi" w:cstheme="minorHAnsi"/>
          <w:vertAlign w:val="superscript"/>
        </w:rPr>
        <w:t xml:space="preserve"> </w:t>
      </w:r>
      <w:r w:rsidRPr="00CE75F3">
        <w:rPr>
          <w:rFonts w:asciiTheme="minorHAnsi" w:hAnsiTheme="minorHAnsi" w:cstheme="minorHAnsi"/>
        </w:rPr>
        <w:t>Department of Chemical Engineering, National Taiwan University, Taipei 10617, Taiwan.</w:t>
      </w:r>
    </w:p>
  </w:endnote>
  <w:endnote w:id="2"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  <w:r w:rsidRPr="00CE75F3">
        <w:rPr>
          <w:rStyle w:val="a4"/>
          <w:rFonts w:asciiTheme="minorHAnsi" w:hAnsiTheme="minorHAnsi" w:cstheme="minorHAnsi"/>
        </w:rPr>
        <w:endnoteRef/>
      </w:r>
      <w:r w:rsidRPr="00CE75F3">
        <w:rPr>
          <w:rFonts w:asciiTheme="minorHAnsi" w:hAnsiTheme="minorHAnsi" w:cstheme="minorHAnsi"/>
        </w:rPr>
        <w:t xml:space="preserve"> Jeng-Da Chai 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  <w:r w:rsidRPr="00CE75F3">
        <w:rPr>
          <w:rFonts w:asciiTheme="minorHAnsi" w:hAnsiTheme="minorHAnsi" w:cstheme="minorHAnsi"/>
        </w:rPr>
        <w:t xml:space="preserve">Department of Physics, Center for Theoretical Physics, and Center for Quantum Science and Engineering, National Taiwan University, Taipei 10617, Taiwan. 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  <w:sz w:val="28"/>
          <w:szCs w:val="28"/>
        </w:rPr>
      </w:pPr>
      <w:r w:rsidRPr="00CE75F3">
        <w:rPr>
          <w:rFonts w:asciiTheme="minorHAnsi" w:hAnsiTheme="minorHAnsi" w:cstheme="minorHAnsi"/>
          <w:b/>
          <w:sz w:val="28"/>
          <w:szCs w:val="28"/>
        </w:rPr>
        <w:t>Supporting Information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  <w:sz w:val="28"/>
          <w:szCs w:val="28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sz w:val="24"/>
          <w:szCs w:val="24"/>
        </w:rPr>
      </w:pPr>
      <w:r w:rsidRPr="00CE75F3">
        <w:rPr>
          <w:rFonts w:asciiTheme="minorHAnsi" w:hAnsiTheme="minorHAnsi" w:cstheme="minorHAnsi"/>
          <w:sz w:val="24"/>
          <w:szCs w:val="24"/>
        </w:rPr>
        <w:t xml:space="preserve">Table 1. CCSD(T)//ATZ IP, EA and FG evaluated employing ∆SCF approach 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sz w:val="24"/>
          <w:szCs w:val="24"/>
        </w:rPr>
      </w:pPr>
      <w:r w:rsidRPr="00CE75F3">
        <w:rPr>
          <w:rFonts w:asciiTheme="minorHAnsi" w:hAnsiTheme="minorHAnsi" w:cstheme="minorHAnsi"/>
          <w:sz w:val="24"/>
          <w:szCs w:val="24"/>
        </w:rPr>
        <w:t>(30 compounds).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tbl>
      <w:tblPr>
        <w:tblW w:w="5500" w:type="dxa"/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</w:tblGrid>
      <w:tr w:rsidR="00CE75F3" w:rsidRPr="00CE75F3" w:rsidTr="00E76ECB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 xml:space="preserve">EA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11.42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9.58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7.52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7.13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9.88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9.47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2.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 IP, EA and FG evaluated employing ∆SCF approach with default range separation parameter (ω=0.40 bohr</w:t>
      </w:r>
      <w:r w:rsidRPr="00CE75F3">
        <w:rPr>
          <w:rFonts w:asciiTheme="minorHAnsi" w:hAnsiTheme="minorHAnsi" w:cstheme="minorHAnsi"/>
          <w:b/>
          <w:vertAlign w:val="superscript"/>
        </w:rPr>
        <w:t>-1</w:t>
      </w:r>
      <w:r w:rsidRPr="00CE75F3">
        <w:rPr>
          <w:rFonts w:asciiTheme="minorHAnsi" w:hAnsiTheme="minorHAnsi" w:cstheme="minorHAnsi"/>
          <w:b/>
        </w:rPr>
        <w:t>). (30 compounds).</w:t>
      </w:r>
    </w:p>
    <w:tbl>
      <w:tblPr>
        <w:tblW w:w="5500" w:type="dxa"/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</w:tblGrid>
      <w:tr w:rsidR="00CE75F3" w:rsidRPr="00CE75F3" w:rsidTr="00E76ECB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 xml:space="preserve">EA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11.15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6.57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12.03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8.58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9.38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3. Tuned IP, EA evaluated employing ∆SCF approach using eq. 3 with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 (30 compounds).</w:t>
      </w:r>
    </w:p>
    <w:tbl>
      <w:tblPr>
        <w:tblW w:w="6030" w:type="dxa"/>
        <w:tblInd w:w="-10" w:type="dxa"/>
        <w:tblLook w:val="04A0" w:firstRow="1" w:lastRow="0" w:firstColumn="1" w:lastColumn="0" w:noHBand="0" w:noVBand="1"/>
      </w:tblPr>
      <w:tblGrid>
        <w:gridCol w:w="2880"/>
        <w:gridCol w:w="990"/>
        <w:gridCol w:w="990"/>
        <w:gridCol w:w="1170"/>
      </w:tblGrid>
      <w:tr w:rsidR="00CE75F3" w:rsidRPr="00CE75F3" w:rsidTr="00E76ECB">
        <w:trPr>
          <w:trHeight w:val="390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-0.57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-0.55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-0.56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-0.35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0.82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-0.35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0.05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-0.06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3.36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1.26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1.75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2.49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0.19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1.22</w:t>
            </w:r>
          </w:p>
        </w:tc>
      </w:tr>
      <w:tr w:rsidR="00CE75F3" w:rsidRPr="00CE75F3" w:rsidTr="00E76ECB">
        <w:trPr>
          <w:trHeight w:val="315"/>
        </w:trPr>
        <w:tc>
          <w:tcPr>
            <w:tcW w:w="2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0.76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4. Tuned EA, evaluated employing ∆SCF approach using eq. 4 with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 (26 compounds).</w:t>
      </w:r>
    </w:p>
    <w:tbl>
      <w:tblPr>
        <w:tblW w:w="4340" w:type="dxa"/>
        <w:tblLook w:val="04A0" w:firstRow="1" w:lastRow="0" w:firstColumn="1" w:lastColumn="0" w:noHBand="0" w:noVBand="1"/>
      </w:tblPr>
      <w:tblGrid>
        <w:gridCol w:w="2420"/>
        <w:gridCol w:w="960"/>
        <w:gridCol w:w="960"/>
      </w:tblGrid>
      <w:tr w:rsidR="00CE75F3" w:rsidRPr="00CE75F3" w:rsidTr="00E76ECB">
        <w:trPr>
          <w:trHeight w:val="375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</w:tr>
      <w:tr w:rsidR="00CE75F3" w:rsidRPr="00CE75F3" w:rsidTr="00E76ECB">
        <w:trPr>
          <w:trHeight w:val="375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-0.42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-0.39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-0.45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-0.43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-0.40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-0.39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-0.54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-0.43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-0.33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0.82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0.67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-0.32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0.05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-0.47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-0.05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0.81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3.35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1.27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1.81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2.49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0.21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1.26</w:t>
            </w:r>
          </w:p>
        </w:tc>
      </w:tr>
      <w:tr w:rsidR="00CE75F3" w:rsidRPr="00CE75F3" w:rsidTr="00E76ECB">
        <w:trPr>
          <w:trHeight w:val="300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0.78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5. Tuned IP, EA, FG employing ∆SCF approach using eq. 5 with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 (30 compounds).</w:t>
      </w:r>
    </w:p>
    <w:tbl>
      <w:tblPr>
        <w:tblW w:w="6460" w:type="dxa"/>
        <w:tblLook w:val="04A0" w:firstRow="1" w:lastRow="0" w:firstColumn="1" w:lastColumn="0" w:noHBand="0" w:noVBand="1"/>
      </w:tblPr>
      <w:tblGrid>
        <w:gridCol w:w="2620"/>
        <w:gridCol w:w="960"/>
        <w:gridCol w:w="960"/>
        <w:gridCol w:w="960"/>
        <w:gridCol w:w="960"/>
      </w:tblGrid>
      <w:tr w:rsidR="00CE75F3" w:rsidRPr="00CE75F3" w:rsidTr="00E76ECB">
        <w:trPr>
          <w:trHeight w:val="375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 xml:space="preserve">EA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11.12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10.16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8.49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7.05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6.71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10.48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8.63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9.88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8.32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10.04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8.88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8.31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</w:t>
            </w:r>
          </w:p>
        </w:tc>
      </w:tr>
      <w:tr w:rsidR="00CE75F3" w:rsidRPr="00CE75F3" w:rsidTr="00E76EC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9.24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6.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//ADZ IP, EA and FG evaluated employing ∆SCF approach with default range separation parameter (ω=0.40 bohr</w:t>
      </w:r>
      <w:r w:rsidRPr="00CE75F3">
        <w:rPr>
          <w:rFonts w:asciiTheme="minorHAnsi" w:hAnsiTheme="minorHAnsi" w:cstheme="minorHAnsi"/>
          <w:b/>
          <w:vertAlign w:val="superscript"/>
        </w:rPr>
        <w:t>-1</w:t>
      </w:r>
      <w:r w:rsidRPr="00CE75F3">
        <w:rPr>
          <w:rFonts w:asciiTheme="minorHAnsi" w:hAnsiTheme="minorHAnsi" w:cstheme="minorHAnsi"/>
          <w:b/>
        </w:rPr>
        <w:t>). (30 compounds).</w:t>
      </w:r>
    </w:p>
    <w:tbl>
      <w:tblPr>
        <w:tblW w:w="5580" w:type="dxa"/>
        <w:tblInd w:w="-5" w:type="dxa"/>
        <w:tblLook w:val="04A0" w:firstRow="1" w:lastRow="0" w:firstColumn="1" w:lastColumn="0" w:noHBand="0" w:noVBand="1"/>
      </w:tblPr>
      <w:tblGrid>
        <w:gridCol w:w="2700"/>
        <w:gridCol w:w="960"/>
        <w:gridCol w:w="960"/>
        <w:gridCol w:w="960"/>
      </w:tblGrid>
      <w:tr w:rsidR="00CE75F3" w:rsidRPr="00CE75F3" w:rsidTr="00E76ECB">
        <w:trPr>
          <w:trHeight w:val="39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9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10.11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9.93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9.67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10.03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11.28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11.68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9.74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10.93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10.04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-1.03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10.02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10.16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8.67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7.31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6.52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9.99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10.74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10.56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8.46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8.77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8.29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9.96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9.64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8.54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10.06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8.53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9.61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10.34</w:t>
            </w:r>
          </w:p>
        </w:tc>
      </w:tr>
      <w:tr w:rsidR="00CE75F3" w:rsidRPr="00CE75F3" w:rsidTr="00E76ECB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7. Tuned IP, EA, FG employing ∆SCF approach using eq. 5 with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//ADZ (30 compounds).</w:t>
      </w:r>
    </w:p>
    <w:tbl>
      <w:tblPr>
        <w:tblW w:w="6600" w:type="dxa"/>
        <w:tblInd w:w="-5" w:type="dxa"/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960"/>
      </w:tblGrid>
      <w:tr w:rsidR="00CE75F3" w:rsidRPr="00CE75F3" w:rsidTr="00E76ECB">
        <w:trPr>
          <w:trHeight w:val="39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9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9.87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9.64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9.62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10.89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9.86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9.79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8.69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6.99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6.65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9.96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10.73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8.31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8.08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9.82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9.44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8.32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9.95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8.86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8.27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9.46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10.44</w:t>
            </w:r>
          </w:p>
        </w:tc>
      </w:tr>
      <w:tr w:rsidR="00CE75F3" w:rsidRPr="00CE75F3" w:rsidTr="00E76ECB">
        <w:trPr>
          <w:trHeight w:val="315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9.15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8. HOMO, LUMO Energies and their gaps using default range separation parameter (0.40 bohr</w:t>
      </w:r>
      <w:r w:rsidRPr="00CE75F3">
        <w:rPr>
          <w:rFonts w:asciiTheme="minorHAnsi" w:hAnsiTheme="minorHAnsi" w:cstheme="minorHAnsi"/>
          <w:b/>
          <w:vertAlign w:val="superscript"/>
        </w:rPr>
        <w:t>-1</w:t>
      </w:r>
      <w:r w:rsidRPr="00CE75F3">
        <w:rPr>
          <w:rFonts w:asciiTheme="minorHAnsi" w:hAnsiTheme="minorHAnsi" w:cstheme="minorHAnsi"/>
          <w:b/>
        </w:rPr>
        <w:t>) employing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//ATZ. (30 compounds).</w:t>
      </w:r>
    </w:p>
    <w:tbl>
      <w:tblPr>
        <w:tblW w:w="6750" w:type="dxa"/>
        <w:tblInd w:w="-5" w:type="dxa"/>
        <w:tblLook w:val="04A0" w:firstRow="1" w:lastRow="0" w:firstColumn="1" w:lastColumn="0" w:noHBand="0" w:noVBand="1"/>
      </w:tblPr>
      <w:tblGrid>
        <w:gridCol w:w="2720"/>
        <w:gridCol w:w="1420"/>
        <w:gridCol w:w="1170"/>
        <w:gridCol w:w="1440"/>
      </w:tblGrid>
      <w:tr w:rsidR="00CE75F3" w:rsidRPr="00CE75F3" w:rsidTr="00E76ECB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 -HOMO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-LUMO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 Gap(L-H)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10.36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10.39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11.41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10.32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11.29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10.63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7.63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10.16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10.35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9.03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8.96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10.82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12.33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2.99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9.34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0.93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10.72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9.26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10.33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9.  HOMO, LUMO Energies and their gaps tuned using eq. 5 employing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//ATZ. (30 compounds).</w:t>
      </w:r>
    </w:p>
    <w:tbl>
      <w:tblPr>
        <w:tblW w:w="6480" w:type="dxa"/>
        <w:tblInd w:w="-5" w:type="dxa"/>
        <w:tblLook w:val="04A0" w:firstRow="1" w:lastRow="0" w:firstColumn="1" w:lastColumn="0" w:noHBand="0" w:noVBand="1"/>
      </w:tblPr>
      <w:tblGrid>
        <w:gridCol w:w="2720"/>
        <w:gridCol w:w="1240"/>
        <w:gridCol w:w="1080"/>
        <w:gridCol w:w="1440"/>
      </w:tblGrid>
      <w:tr w:rsidR="00CE75F3" w:rsidRPr="00CE75F3" w:rsidTr="00E76ECB">
        <w:trPr>
          <w:trHeight w:val="37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Compounds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 -HOMO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-LUMO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 GAP(L-H)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9.62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10.03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9.79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9.54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9.89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7.05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6.65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9.76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8.69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9.95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8.21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10.14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1.45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9.18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8.29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10.87</w:t>
            </w:r>
          </w:p>
        </w:tc>
      </w:tr>
      <w:tr w:rsidR="00CE75F3" w:rsidRPr="00CE75F3" w:rsidTr="00E76ECB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9.41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</w:p>
    <w:tbl>
      <w:tblPr>
        <w:tblW w:w="8160" w:type="dxa"/>
        <w:tblLook w:val="04A0" w:firstRow="1" w:lastRow="0" w:firstColumn="1" w:lastColumn="0" w:noHBand="0" w:noVBand="1"/>
      </w:tblPr>
      <w:tblGrid>
        <w:gridCol w:w="2605"/>
        <w:gridCol w:w="875"/>
        <w:gridCol w:w="1180"/>
        <w:gridCol w:w="1140"/>
        <w:gridCol w:w="1180"/>
        <w:gridCol w:w="1180"/>
      </w:tblGrid>
      <w:tr w:rsidR="00CE75F3" w:rsidRPr="00CE75F3" w:rsidTr="00E76ECB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</w:tr>
      <w:tr w:rsidR="00CE75F3" w:rsidRPr="00CE75F3" w:rsidTr="00E76ECB">
        <w:trPr>
          <w:trHeight w:val="37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 Compounds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ω=0.20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ω=0.30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ω=0.40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ω=0.50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ω=0.60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-0.72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-0.84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-0.77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-0.79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-0.55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1.08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0.11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3.24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1.08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1.87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-0.54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0.58</w:t>
            </w:r>
          </w:p>
        </w:tc>
      </w:tr>
      <w:tr w:rsidR="00CE75F3" w:rsidRPr="00CE75F3" w:rsidTr="00E76ECB">
        <w:trPr>
          <w:trHeight w:val="30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0.03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10. Negative LUMO energies at various range separation parameters (0.20, 0.30, 0.40, 0.50, 0.60 bohr-</w:t>
      </w:r>
      <w:r w:rsidRPr="00CE75F3">
        <w:rPr>
          <w:rFonts w:asciiTheme="minorHAnsi" w:hAnsiTheme="minorHAnsi" w:cstheme="minorHAnsi"/>
          <w:b/>
          <w:vertAlign w:val="superscript"/>
        </w:rPr>
        <w:t>1</w:t>
      </w:r>
      <w:r w:rsidRPr="00CE75F3">
        <w:rPr>
          <w:rFonts w:asciiTheme="minorHAnsi" w:hAnsiTheme="minorHAnsi" w:cstheme="minorHAnsi"/>
          <w:b/>
        </w:rPr>
        <w:t>) with LC-</w:t>
      </w:r>
      <w:proofErr w:type="spellStart"/>
      <w:r w:rsidRPr="00CE75F3">
        <w:rPr>
          <w:rFonts w:asciiTheme="minorHAnsi" w:hAnsiTheme="minorHAnsi" w:cstheme="minorHAnsi"/>
          <w:b/>
        </w:rPr>
        <w:t>ωPBE</w:t>
      </w:r>
      <w:proofErr w:type="spellEnd"/>
      <w:r w:rsidRPr="00CE75F3">
        <w:rPr>
          <w:rFonts w:asciiTheme="minorHAnsi" w:hAnsiTheme="minorHAnsi" w:cstheme="minorHAnsi"/>
          <w:b/>
        </w:rPr>
        <w:t>//ATZ. (30 compounds).</w:t>
      </w: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11. Default and tuned (ω) based on eq. 5 IP, EA and FG (∆SCF) of LC-BLYP//ATZ. (30 compounds).</w:t>
      </w:r>
    </w:p>
    <w:tbl>
      <w:tblPr>
        <w:tblW w:w="9240" w:type="dxa"/>
        <w:tblInd w:w="-5" w:type="dxa"/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960"/>
        <w:gridCol w:w="960"/>
        <w:gridCol w:w="960"/>
        <w:gridCol w:w="960"/>
        <w:gridCol w:w="960"/>
      </w:tblGrid>
      <w:tr w:rsidR="00CE75F3" w:rsidRPr="00CE75F3" w:rsidTr="00E76ECB">
        <w:trPr>
          <w:trHeight w:val="7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Default ω</w:t>
            </w: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  <w:b/>
              </w:rPr>
              <w:t>Tuned ω</w:t>
            </w: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</w:p>
        </w:tc>
      </w:tr>
      <w:tr w:rsidR="00CE75F3" w:rsidRPr="00CE75F3" w:rsidTr="00E76ECB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10.01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10.19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11.21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11.9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9.69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9.57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10.94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7.05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6.75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9.77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10.58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8.66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8.18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9.54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12.19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8.41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10.08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8.71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9.23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  <w:b/>
        </w:rPr>
      </w:pPr>
      <w:r w:rsidRPr="00CE75F3">
        <w:rPr>
          <w:rFonts w:asciiTheme="minorHAnsi" w:hAnsiTheme="minorHAnsi" w:cstheme="minorHAnsi"/>
          <w:b/>
        </w:rPr>
        <w:t>Table 12.</w:t>
      </w:r>
      <w:r w:rsidRPr="00CE75F3">
        <w:rPr>
          <w:rFonts w:asciiTheme="minorHAnsi" w:hAnsiTheme="minorHAnsi" w:cstheme="minorHAnsi"/>
        </w:rPr>
        <w:t xml:space="preserve"> </w:t>
      </w:r>
      <w:r w:rsidRPr="00CE75F3">
        <w:rPr>
          <w:rFonts w:asciiTheme="minorHAnsi" w:hAnsiTheme="minorHAnsi" w:cstheme="minorHAnsi"/>
          <w:b/>
        </w:rPr>
        <w:t>Default and tuned (ω) based on eq. 5 IP, EA and FG (∆SCF) of ωB97XD//ATZ. (30 compounds).</w:t>
      </w:r>
    </w:p>
    <w:tbl>
      <w:tblPr>
        <w:tblW w:w="9240" w:type="dxa"/>
        <w:tblInd w:w="-5" w:type="dxa"/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960"/>
        <w:gridCol w:w="960"/>
        <w:gridCol w:w="960"/>
        <w:gridCol w:w="960"/>
        <w:gridCol w:w="960"/>
      </w:tblGrid>
      <w:tr w:rsidR="00CE75F3" w:rsidRPr="00CE75F3" w:rsidTr="00E76ECB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  <w:r w:rsidRPr="00CE75F3">
              <w:rPr>
                <w:rFonts w:asciiTheme="minorHAnsi" w:hAnsiTheme="minorHAnsi" w:cstheme="minorHAnsi"/>
                <w:b/>
              </w:rPr>
              <w:t>Default ω</w:t>
            </w: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  <w:r w:rsidRPr="00CE75F3">
              <w:rPr>
                <w:rFonts w:asciiTheme="minorHAnsi" w:hAnsiTheme="minorHAnsi" w:cstheme="minorHAnsi"/>
                <w:b/>
              </w:rPr>
              <w:t>Tuned ω</w:t>
            </w:r>
          </w:p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</w:tr>
      <w:tr w:rsidR="00CE75F3" w:rsidRPr="00CE75F3" w:rsidTr="00E76ECB">
        <w:trPr>
          <w:trHeight w:val="37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IP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  <w:b/>
                <w:bCs/>
              </w:rPr>
            </w:pPr>
            <w:r w:rsidRPr="00CE75F3">
              <w:rPr>
                <w:rFonts w:asciiTheme="minorHAnsi" w:hAnsiTheme="minorHAnsi" w:cstheme="minorHAnsi"/>
                <w:b/>
                <w:bCs/>
              </w:rPr>
              <w:t>FG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Cyclohexyl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Dimethyl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10.32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Sec-Butyl amine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Butanol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Ethyleneglycol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11.97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Phenol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1-Butyne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10.9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Butadine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1,4-Cyclohexadine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9.58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Naphthalene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8.57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Acridine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7.13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Azulene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6.75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Furan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Thiophene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Pyridine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-1.01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Indole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Quinoline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Carbazole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7.59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8.23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-0.18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 xml:space="preserve">meta </w:t>
            </w:r>
            <w:proofErr w:type="spellStart"/>
            <w:r w:rsidRPr="00CE75F3">
              <w:rPr>
                <w:rFonts w:asciiTheme="minorHAnsi" w:hAnsiTheme="minorHAnsi" w:cstheme="minorHAnsi"/>
              </w:rPr>
              <w:t>Cyano</w:t>
            </w:r>
            <w:proofErr w:type="spellEnd"/>
            <w:r w:rsidRPr="00CE75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E75F3">
              <w:rPr>
                <w:rFonts w:asciiTheme="minorHAnsi" w:hAnsiTheme="minorHAnsi" w:cstheme="minorHAnsi"/>
              </w:rPr>
              <w:t>Benzonitrile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9.59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TCNE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Fumeronitrile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10.12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9.01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F4- Benzoquinone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2.39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8.48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Benzaldehyde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9.6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Maleic Anhydride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11.72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1.17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10.55</w:t>
            </w:r>
          </w:p>
        </w:tc>
      </w:tr>
      <w:tr w:rsidR="00CE75F3" w:rsidRPr="00CE75F3" w:rsidTr="00E76ECB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proofErr w:type="spellStart"/>
            <w:r w:rsidRPr="00CE75F3">
              <w:rPr>
                <w:rFonts w:asciiTheme="minorHAnsi" w:hAnsiTheme="minorHAnsi" w:cstheme="minorHAnsi"/>
              </w:rPr>
              <w:t>Pthalimide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10.15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0.64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F3" w:rsidRPr="00CE75F3" w:rsidRDefault="00CE75F3" w:rsidP="00CE75F3">
            <w:pPr>
              <w:pStyle w:val="a3"/>
              <w:rPr>
                <w:rFonts w:asciiTheme="minorHAnsi" w:hAnsiTheme="minorHAnsi" w:cstheme="minorHAnsi"/>
              </w:rPr>
            </w:pPr>
            <w:r w:rsidRPr="00CE75F3">
              <w:rPr>
                <w:rFonts w:asciiTheme="minorHAnsi" w:hAnsiTheme="minorHAnsi" w:cstheme="minorHAnsi"/>
              </w:rPr>
              <w:t>9.51</w:t>
            </w:r>
          </w:p>
        </w:tc>
      </w:tr>
    </w:tbl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  <w:p w:rsidR="00CE75F3" w:rsidRPr="00CE75F3" w:rsidRDefault="00CE75F3" w:rsidP="00CE75F3">
      <w:pPr>
        <w:pStyle w:val="a3"/>
        <w:rPr>
          <w:rFonts w:asciiTheme="minorHAnsi" w:hAnsiTheme="minorHAnsi" w:cstheme="minorHAnsi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77" w:rsidRDefault="00C84377" w:rsidP="00CE75F3">
      <w:pPr>
        <w:spacing w:after="0" w:line="240" w:lineRule="auto"/>
      </w:pPr>
      <w:r>
        <w:separator/>
      </w:r>
    </w:p>
  </w:footnote>
  <w:footnote w:type="continuationSeparator" w:id="0">
    <w:p w:rsidR="00C84377" w:rsidRDefault="00C84377" w:rsidP="00CE7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5F3"/>
    <w:rsid w:val="00392E0E"/>
    <w:rsid w:val="00A5282D"/>
    <w:rsid w:val="00C84377"/>
    <w:rsid w:val="00CE75F3"/>
    <w:rsid w:val="00FD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F3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CE75F3"/>
    <w:pPr>
      <w:spacing w:after="0" w:line="240" w:lineRule="auto"/>
    </w:pPr>
    <w:rPr>
      <w:sz w:val="20"/>
      <w:szCs w:val="20"/>
    </w:rPr>
  </w:style>
  <w:style w:type="character" w:customStyle="1" w:styleId="Char">
    <w:name w:val="章節附註文字 Char"/>
    <w:basedOn w:val="a0"/>
    <w:link w:val="a3"/>
    <w:uiPriority w:val="99"/>
    <w:semiHidden/>
    <w:rsid w:val="00CE75F3"/>
    <w:rPr>
      <w:rFonts w:ascii="Calibri" w:hAnsi="Calibri" w:cs="Times New Roman"/>
      <w:sz w:val="20"/>
      <w:szCs w:val="20"/>
      <w:lang w:eastAsia="en-US"/>
    </w:rPr>
  </w:style>
  <w:style w:type="character" w:styleId="a4">
    <w:name w:val="endnote reference"/>
    <w:uiPriority w:val="99"/>
    <w:semiHidden/>
    <w:unhideWhenUsed/>
    <w:rsid w:val="00CE75F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5F3"/>
    <w:pPr>
      <w:spacing w:after="200" w:line="276" w:lineRule="auto"/>
    </w:pPr>
    <w:rPr>
      <w:rFonts w:ascii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CE75F3"/>
    <w:pPr>
      <w:spacing w:after="0" w:line="240" w:lineRule="auto"/>
    </w:pPr>
    <w:rPr>
      <w:sz w:val="20"/>
      <w:szCs w:val="20"/>
    </w:rPr>
  </w:style>
  <w:style w:type="character" w:customStyle="1" w:styleId="Char">
    <w:name w:val="章節附註文字 Char"/>
    <w:basedOn w:val="a0"/>
    <w:link w:val="a3"/>
    <w:uiPriority w:val="99"/>
    <w:semiHidden/>
    <w:rsid w:val="00CE75F3"/>
    <w:rPr>
      <w:rFonts w:ascii="Calibri" w:hAnsi="Calibri" w:cs="Times New Roman"/>
      <w:sz w:val="20"/>
      <w:szCs w:val="20"/>
      <w:lang w:eastAsia="en-US"/>
    </w:rPr>
  </w:style>
  <w:style w:type="character" w:styleId="a4">
    <w:name w:val="endnote reference"/>
    <w:uiPriority w:val="99"/>
    <w:semiHidden/>
    <w:unhideWhenUsed/>
    <w:rsid w:val="00CE7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35</Words>
  <Characters>202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</dc:creator>
  <cp:keywords/>
  <dc:description/>
  <cp:lastModifiedBy>Chai Jeng-Da</cp:lastModifiedBy>
  <cp:revision>2</cp:revision>
  <dcterms:created xsi:type="dcterms:W3CDTF">2018-11-09T17:29:00Z</dcterms:created>
  <dcterms:modified xsi:type="dcterms:W3CDTF">2018-11-09T17:29:00Z</dcterms:modified>
</cp:coreProperties>
</file>